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C970" w14:textId="77777777" w:rsidR="00562B19" w:rsidRPr="00B8097F" w:rsidRDefault="00562B19"/>
    <w:p w14:paraId="6F97C971" w14:textId="77777777" w:rsidR="00562B19" w:rsidRPr="00B8097F" w:rsidRDefault="00B8097F" w:rsidP="00B8097F">
      <w:pPr>
        <w:pStyle w:val="Heading1"/>
        <w:jc w:val="both"/>
        <w:rPr>
          <w:rFonts w:ascii="Arial" w:hAnsi="Arial" w:cs="Arial"/>
          <w:color w:val="auto"/>
          <w:sz w:val="24"/>
          <w:szCs w:val="24"/>
        </w:rPr>
      </w:pPr>
      <w:bookmarkStart w:id="0" w:name="sickness-absence-policy"/>
      <w:r w:rsidRPr="00B8097F">
        <w:rPr>
          <w:rFonts w:ascii="Arial" w:hAnsi="Arial" w:cs="Arial"/>
          <w:color w:val="auto"/>
          <w:sz w:val="24"/>
          <w:szCs w:val="24"/>
        </w:rPr>
        <w:t>Sickness Absence Policy</w:t>
      </w:r>
    </w:p>
    <w:p w14:paraId="6F97C972" w14:textId="77777777" w:rsidR="00562B19" w:rsidRPr="00B8097F" w:rsidRDefault="00B8097F" w:rsidP="00B8097F">
      <w:pPr>
        <w:pStyle w:val="Heading2"/>
        <w:jc w:val="both"/>
        <w:rPr>
          <w:rFonts w:ascii="Arial" w:hAnsi="Arial" w:cs="Arial"/>
          <w:color w:val="auto"/>
          <w:sz w:val="24"/>
          <w:szCs w:val="24"/>
        </w:rPr>
      </w:pPr>
      <w:bookmarkStart w:id="1" w:name="DCAM-2052251"/>
      <w:bookmarkEnd w:id="0"/>
      <w:r w:rsidRPr="00B8097F">
        <w:rPr>
          <w:rFonts w:ascii="Arial" w:hAnsi="Arial" w:cs="Arial"/>
          <w:color w:val="auto"/>
          <w:sz w:val="24"/>
          <w:szCs w:val="24"/>
        </w:rPr>
        <w:t>Policy Statement</w:t>
      </w:r>
    </w:p>
    <w:bookmarkEnd w:id="1"/>
    <w:p w14:paraId="6F97C973" w14:textId="77777777" w:rsidR="00562B19" w:rsidRPr="00B8097F" w:rsidRDefault="006C33A3" w:rsidP="00B8097F">
      <w:pPr>
        <w:jc w:val="both"/>
        <w:rPr>
          <w:rFonts w:ascii="Arial" w:hAnsi="Arial" w:cs="Arial"/>
        </w:rPr>
      </w:pPr>
      <w:r w:rsidRPr="00B8097F">
        <w:rPr>
          <w:rFonts w:ascii="Arial" w:hAnsi="Arial" w:cs="Arial"/>
        </w:rPr>
        <w:t>Zenith Care</w:t>
      </w:r>
      <w:r w:rsidR="00B8097F" w:rsidRPr="00B8097F">
        <w:rPr>
          <w:rFonts w:ascii="Arial" w:hAnsi="Arial" w:cs="Arial"/>
        </w:rPr>
        <w:t xml:space="preserve"> aims to secure the attendance of all employees throughout the working week. However, it recognises that a certain level of absence may be necessary due to sickness. It is </w:t>
      </w:r>
      <w:r w:rsidRPr="00B8097F">
        <w:rPr>
          <w:rFonts w:ascii="Arial" w:hAnsi="Arial" w:cs="Arial"/>
        </w:rPr>
        <w:t>Zenith Care</w:t>
      </w:r>
      <w:r w:rsidR="00B8097F" w:rsidRPr="00B8097F">
        <w:rPr>
          <w:rFonts w:ascii="Arial" w:hAnsi="Arial" w:cs="Arial"/>
        </w:rPr>
        <w:t>'s policy to offer security of employment during such periods, subject to operational requirements.</w:t>
      </w:r>
    </w:p>
    <w:p w14:paraId="6F97C974" w14:textId="77777777" w:rsidR="00562B19" w:rsidRPr="00B8097F" w:rsidRDefault="00B8097F" w:rsidP="00B8097F">
      <w:pPr>
        <w:pStyle w:val="Heading2"/>
        <w:jc w:val="both"/>
        <w:rPr>
          <w:rFonts w:ascii="Arial" w:hAnsi="Arial" w:cs="Arial"/>
          <w:color w:val="auto"/>
          <w:sz w:val="24"/>
          <w:szCs w:val="24"/>
        </w:rPr>
      </w:pPr>
      <w:bookmarkStart w:id="2" w:name="DCAM-249405"/>
      <w:r w:rsidRPr="00B8097F">
        <w:rPr>
          <w:rFonts w:ascii="Arial" w:hAnsi="Arial" w:cs="Arial"/>
          <w:color w:val="auto"/>
          <w:sz w:val="24"/>
          <w:szCs w:val="24"/>
        </w:rPr>
        <w:t>Procedure</w:t>
      </w:r>
    </w:p>
    <w:bookmarkEnd w:id="2"/>
    <w:p w14:paraId="6F97C975" w14:textId="77777777" w:rsidR="00562B19" w:rsidRPr="00B8097F" w:rsidRDefault="00B8097F" w:rsidP="00B8097F">
      <w:pPr>
        <w:numPr>
          <w:ilvl w:val="0"/>
          <w:numId w:val="2"/>
        </w:numPr>
        <w:jc w:val="both"/>
        <w:rPr>
          <w:rFonts w:ascii="Arial" w:hAnsi="Arial" w:cs="Arial"/>
        </w:rPr>
      </w:pPr>
      <w:r w:rsidRPr="00B8097F">
        <w:rPr>
          <w:rFonts w:ascii="Arial" w:hAnsi="Arial" w:cs="Arial"/>
        </w:rPr>
        <w:t>Employees who are absent from work due to sickness or accident must conform to the following procedure.</w:t>
      </w:r>
    </w:p>
    <w:p w14:paraId="6F97C976" w14:textId="77777777" w:rsidR="00562B19" w:rsidRPr="00B8097F" w:rsidRDefault="006C33A3" w:rsidP="00B8097F">
      <w:pPr>
        <w:numPr>
          <w:ilvl w:val="1"/>
          <w:numId w:val="8"/>
        </w:numPr>
        <w:jc w:val="both"/>
        <w:rPr>
          <w:rFonts w:ascii="Arial" w:hAnsi="Arial" w:cs="Arial"/>
        </w:rPr>
      </w:pPr>
      <w:r w:rsidRPr="00B8097F">
        <w:rPr>
          <w:rFonts w:ascii="Arial" w:hAnsi="Arial" w:cs="Arial"/>
        </w:rPr>
        <w:t>Employees must telephone</w:t>
      </w:r>
      <w:r w:rsidR="00B8097F" w:rsidRPr="00B8097F">
        <w:rPr>
          <w:rFonts w:ascii="Arial" w:hAnsi="Arial" w:cs="Arial"/>
        </w:rPr>
        <w:t xml:space="preserve"> </w:t>
      </w:r>
      <w:r w:rsidRPr="00B8097F">
        <w:rPr>
          <w:rFonts w:ascii="Arial" w:hAnsi="Arial" w:cs="Arial"/>
        </w:rPr>
        <w:t xml:space="preserve">their line manager </w:t>
      </w:r>
      <w:r w:rsidR="00B8097F" w:rsidRPr="00B8097F">
        <w:rPr>
          <w:rFonts w:ascii="Arial" w:hAnsi="Arial" w:cs="Arial"/>
        </w:rPr>
        <w:t xml:space="preserve">to give details of their absence by </w:t>
      </w:r>
      <w:r w:rsidRPr="00B8097F">
        <w:rPr>
          <w:rFonts w:ascii="Arial" w:hAnsi="Arial" w:cs="Arial"/>
        </w:rPr>
        <w:t>7am</w:t>
      </w:r>
      <w:r w:rsidR="00B8097F" w:rsidRPr="00B8097F">
        <w:rPr>
          <w:rFonts w:ascii="Arial" w:hAnsi="Arial" w:cs="Arial"/>
        </w:rPr>
        <w:t xml:space="preserve"> on the first day of absence. They should leave a contact number.</w:t>
      </w:r>
    </w:p>
    <w:p w14:paraId="6F97C977" w14:textId="77777777" w:rsidR="006C33A3" w:rsidRPr="00B8097F" w:rsidRDefault="00B8097F" w:rsidP="00B8097F">
      <w:pPr>
        <w:numPr>
          <w:ilvl w:val="1"/>
          <w:numId w:val="8"/>
        </w:numPr>
        <w:jc w:val="both"/>
        <w:rPr>
          <w:rFonts w:ascii="Arial" w:hAnsi="Arial" w:cs="Arial"/>
        </w:rPr>
      </w:pPr>
      <w:r w:rsidRPr="00B8097F">
        <w:rPr>
          <w:rFonts w:ascii="Arial" w:hAnsi="Arial" w:cs="Arial"/>
        </w:rPr>
        <w:t>If they return to work after no more than seven days’ absence, they must complete a self-certific</w:t>
      </w:r>
      <w:r w:rsidR="006C33A3" w:rsidRPr="00B8097F">
        <w:rPr>
          <w:rFonts w:ascii="Arial" w:hAnsi="Arial" w:cs="Arial"/>
        </w:rPr>
        <w:t>ate in the presence of their line Manager</w:t>
      </w:r>
      <w:r w:rsidRPr="00B8097F">
        <w:rPr>
          <w:rFonts w:ascii="Arial" w:hAnsi="Arial" w:cs="Arial"/>
        </w:rPr>
        <w:t xml:space="preserve">. </w:t>
      </w:r>
    </w:p>
    <w:p w14:paraId="6F97C978" w14:textId="77777777" w:rsidR="00562B19" w:rsidRPr="00B8097F" w:rsidRDefault="00B8097F" w:rsidP="00B8097F">
      <w:pPr>
        <w:numPr>
          <w:ilvl w:val="1"/>
          <w:numId w:val="8"/>
        </w:numPr>
        <w:jc w:val="both"/>
        <w:rPr>
          <w:rFonts w:ascii="Arial" w:hAnsi="Arial" w:cs="Arial"/>
        </w:rPr>
      </w:pPr>
      <w:r w:rsidRPr="00B8097F">
        <w:rPr>
          <w:rFonts w:ascii="Arial" w:hAnsi="Arial" w:cs="Arial"/>
        </w:rPr>
        <w:t xml:space="preserve">If their absence lasts for longer than seven days, they must forward medical certificates to </w:t>
      </w:r>
      <w:r w:rsidR="006C33A3" w:rsidRPr="00B8097F">
        <w:rPr>
          <w:rFonts w:ascii="Arial" w:hAnsi="Arial" w:cs="Arial"/>
        </w:rPr>
        <w:t>HR</w:t>
      </w:r>
      <w:r w:rsidRPr="00B8097F">
        <w:rPr>
          <w:rFonts w:ascii="Arial" w:hAnsi="Arial" w:cs="Arial"/>
        </w:rPr>
        <w:t>. [Note that the seven days includes days on which the employee normally does not work, eg weekends and bank holidays].</w:t>
      </w:r>
    </w:p>
    <w:p w14:paraId="6F97C979" w14:textId="77777777" w:rsidR="00562B19" w:rsidRPr="00B8097F" w:rsidRDefault="00B8097F" w:rsidP="00B8097F">
      <w:pPr>
        <w:numPr>
          <w:ilvl w:val="0"/>
          <w:numId w:val="2"/>
        </w:numPr>
        <w:jc w:val="both"/>
        <w:rPr>
          <w:rFonts w:ascii="Arial" w:hAnsi="Arial" w:cs="Arial"/>
        </w:rPr>
      </w:pPr>
      <w:r w:rsidRPr="00B8097F">
        <w:rPr>
          <w:rFonts w:ascii="Arial" w:hAnsi="Arial" w:cs="Arial"/>
        </w:rPr>
        <w:t xml:space="preserve">If the employee has been absent for more than seven days (including weekends and public holidays), he or she must bring a Statement (“fit note”) from his or her doctor. This will either say that the employee is unfit for work, or explain the nature of the employee's condition and confirm that he or she is fit for work with some support from the employer. In the latter case </w:t>
      </w:r>
      <w:r w:rsidR="006C33A3" w:rsidRPr="00B8097F">
        <w:rPr>
          <w:rFonts w:ascii="Arial" w:hAnsi="Arial" w:cs="Arial"/>
        </w:rPr>
        <w:t xml:space="preserve">The Manager </w:t>
      </w:r>
      <w:r w:rsidRPr="00B8097F">
        <w:rPr>
          <w:rFonts w:ascii="Arial" w:hAnsi="Arial" w:cs="Arial"/>
        </w:rPr>
        <w:t>will discuss the measures suggested by the doctor at a return to work interview. If the appropriate measures cannot be taken, the employee will remain on sick leave and a new date will be set to review the situation.</w:t>
      </w:r>
    </w:p>
    <w:p w14:paraId="6F97C97A" w14:textId="77777777" w:rsidR="00562B19" w:rsidRPr="00B8097F" w:rsidRDefault="00B8097F" w:rsidP="00B8097F">
      <w:pPr>
        <w:numPr>
          <w:ilvl w:val="0"/>
          <w:numId w:val="2"/>
        </w:numPr>
        <w:jc w:val="both"/>
        <w:rPr>
          <w:rFonts w:ascii="Arial" w:hAnsi="Arial" w:cs="Arial"/>
        </w:rPr>
      </w:pPr>
      <w:r w:rsidRPr="00B8097F">
        <w:rPr>
          <w:rFonts w:ascii="Arial" w:hAnsi="Arial" w:cs="Arial"/>
        </w:rPr>
        <w:t>Where an employee’s attendance record is significantly worse than those of comparable employees, or where it creates a particular operational difficulty, or it has gone on for a considerable length of time, the following procedure will be operated.</w:t>
      </w:r>
    </w:p>
    <w:p w14:paraId="6F97C97B" w14:textId="77777777" w:rsidR="00562B19" w:rsidRPr="00B8097F" w:rsidRDefault="00B8097F" w:rsidP="00B8097F">
      <w:pPr>
        <w:numPr>
          <w:ilvl w:val="0"/>
          <w:numId w:val="2"/>
        </w:numPr>
        <w:jc w:val="both"/>
        <w:rPr>
          <w:rFonts w:ascii="Arial" w:hAnsi="Arial" w:cs="Arial"/>
        </w:rPr>
      </w:pPr>
      <w:r w:rsidRPr="00B8097F">
        <w:rPr>
          <w:rFonts w:ascii="Arial" w:hAnsi="Arial" w:cs="Arial"/>
        </w:rPr>
        <w:t xml:space="preserve">Where appropriate, and after initial assessment of the employee’s absence, </w:t>
      </w:r>
      <w:r w:rsidR="006C33A3" w:rsidRPr="00B8097F">
        <w:rPr>
          <w:rFonts w:ascii="Arial" w:hAnsi="Arial" w:cs="Arial"/>
        </w:rPr>
        <w:t>The Manager</w:t>
      </w:r>
      <w:r w:rsidRPr="00B8097F">
        <w:rPr>
          <w:rFonts w:ascii="Arial" w:hAnsi="Arial" w:cs="Arial"/>
        </w:rPr>
        <w:t>_ will have an informal meeting with the employee to explore the reason(s) for his or her periods of absence. The employee may be accompanied by a colleague or trade union official if he or she wishes.</w:t>
      </w:r>
    </w:p>
    <w:p w14:paraId="6F97C97C" w14:textId="77777777" w:rsidR="00562B19" w:rsidRPr="00B8097F" w:rsidRDefault="00B8097F" w:rsidP="00B8097F">
      <w:pPr>
        <w:numPr>
          <w:ilvl w:val="1"/>
          <w:numId w:val="4"/>
        </w:numPr>
        <w:jc w:val="both"/>
        <w:rPr>
          <w:rFonts w:ascii="Arial" w:hAnsi="Arial" w:cs="Arial"/>
        </w:rPr>
      </w:pPr>
      <w:r w:rsidRPr="00B8097F">
        <w:rPr>
          <w:rFonts w:ascii="Arial" w:hAnsi="Arial" w:cs="Arial"/>
        </w:rPr>
        <w:t>If the absence involves frequent and persistent short term periods of absence, the manager conducting the interview will aim to:</w:t>
      </w:r>
    </w:p>
    <w:p w14:paraId="6F97C97D" w14:textId="77777777" w:rsidR="00562B19" w:rsidRPr="00B8097F" w:rsidRDefault="00B8097F" w:rsidP="00B8097F">
      <w:pPr>
        <w:numPr>
          <w:ilvl w:val="2"/>
          <w:numId w:val="5"/>
        </w:numPr>
        <w:jc w:val="both"/>
        <w:rPr>
          <w:rFonts w:ascii="Arial" w:hAnsi="Arial" w:cs="Arial"/>
        </w:rPr>
      </w:pPr>
      <w:r w:rsidRPr="00B8097F">
        <w:rPr>
          <w:rFonts w:ascii="Arial" w:hAnsi="Arial" w:cs="Arial"/>
        </w:rPr>
        <w:lastRenderedPageBreak/>
        <w:t>identify the frequency and reason for the absences and ensure that the employee is aware that the absence record is giving cause for concern</w:t>
      </w:r>
    </w:p>
    <w:p w14:paraId="6F97C97E" w14:textId="77777777" w:rsidR="00562B19" w:rsidRPr="00B8097F" w:rsidRDefault="00B8097F" w:rsidP="00B8097F">
      <w:pPr>
        <w:numPr>
          <w:ilvl w:val="2"/>
          <w:numId w:val="5"/>
        </w:numPr>
        <w:jc w:val="both"/>
        <w:rPr>
          <w:rFonts w:ascii="Arial" w:hAnsi="Arial" w:cs="Arial"/>
        </w:rPr>
      </w:pPr>
      <w:r w:rsidRPr="00B8097F">
        <w:rPr>
          <w:rFonts w:ascii="Arial" w:hAnsi="Arial" w:cs="Arial"/>
        </w:rPr>
        <w:t>advise the employee to seek proper medical attention if there is an underlying medical problem. A medical report will be requested, if appropriate</w:t>
      </w:r>
    </w:p>
    <w:p w14:paraId="6F97C97F" w14:textId="77777777" w:rsidR="00562B19" w:rsidRPr="00B8097F" w:rsidRDefault="00B8097F" w:rsidP="00B8097F">
      <w:pPr>
        <w:numPr>
          <w:ilvl w:val="2"/>
          <w:numId w:val="5"/>
        </w:numPr>
        <w:jc w:val="both"/>
        <w:rPr>
          <w:rFonts w:ascii="Arial" w:hAnsi="Arial" w:cs="Arial"/>
        </w:rPr>
      </w:pPr>
      <w:r w:rsidRPr="00B8097F">
        <w:rPr>
          <w:rFonts w:ascii="Arial" w:hAnsi="Arial" w:cs="Arial"/>
        </w:rPr>
        <w:t>inform the employee that persistent short-term absences are unacceptable</w:t>
      </w:r>
    </w:p>
    <w:p w14:paraId="6F97C980" w14:textId="77777777" w:rsidR="00562B19" w:rsidRPr="00B8097F" w:rsidRDefault="00B8097F" w:rsidP="00B8097F">
      <w:pPr>
        <w:numPr>
          <w:ilvl w:val="2"/>
          <w:numId w:val="5"/>
        </w:numPr>
        <w:jc w:val="both"/>
        <w:rPr>
          <w:rFonts w:ascii="Arial" w:hAnsi="Arial" w:cs="Arial"/>
        </w:rPr>
      </w:pPr>
      <w:r w:rsidRPr="00B8097F">
        <w:rPr>
          <w:rFonts w:ascii="Arial" w:hAnsi="Arial" w:cs="Arial"/>
        </w:rPr>
        <w:t>give consideration to any personal problems the employee may have and possible ways of helping the employee resolve them</w:t>
      </w:r>
    </w:p>
    <w:p w14:paraId="6F97C981" w14:textId="77777777" w:rsidR="00562B19" w:rsidRPr="00B8097F" w:rsidRDefault="00B8097F" w:rsidP="00B8097F">
      <w:pPr>
        <w:numPr>
          <w:ilvl w:val="2"/>
          <w:numId w:val="5"/>
        </w:numPr>
        <w:jc w:val="both"/>
        <w:rPr>
          <w:rFonts w:ascii="Arial" w:hAnsi="Arial" w:cs="Arial"/>
        </w:rPr>
      </w:pPr>
      <w:r w:rsidRPr="00B8097F">
        <w:rPr>
          <w:rFonts w:ascii="Arial" w:hAnsi="Arial" w:cs="Arial"/>
        </w:rPr>
        <w:t>agree a reasonable period of time over which the employee’s attendance can be assessed</w:t>
      </w:r>
    </w:p>
    <w:p w14:paraId="6F97C982" w14:textId="77777777" w:rsidR="00B8097F" w:rsidRPr="00B8097F" w:rsidRDefault="00B8097F" w:rsidP="00B8097F">
      <w:pPr>
        <w:numPr>
          <w:ilvl w:val="2"/>
          <w:numId w:val="5"/>
        </w:numPr>
        <w:jc w:val="both"/>
        <w:rPr>
          <w:rFonts w:ascii="Arial" w:hAnsi="Arial" w:cs="Arial"/>
        </w:rPr>
      </w:pPr>
      <w:r w:rsidRPr="00B8097F">
        <w:rPr>
          <w:rFonts w:ascii="Arial" w:hAnsi="Arial" w:cs="Arial"/>
        </w:rPr>
        <w:t xml:space="preserve">indicate that if absenteeism persists, </w:t>
      </w:r>
      <w:r w:rsidR="006C33A3" w:rsidRPr="00B8097F">
        <w:rPr>
          <w:rFonts w:ascii="Arial" w:hAnsi="Arial" w:cs="Arial"/>
        </w:rPr>
        <w:t xml:space="preserve">HR </w:t>
      </w:r>
      <w:r w:rsidRPr="00B8097F">
        <w:rPr>
          <w:rFonts w:ascii="Arial" w:hAnsi="Arial" w:cs="Arial"/>
        </w:rPr>
        <w:t>may have to invoke the disciplinary procedure. A letter will be drafted confirming the facts, the action to be taken and specifying what will happen if attendance is not improved. This will be handed to the employee.</w:t>
      </w:r>
    </w:p>
    <w:p w14:paraId="6F97C983" w14:textId="77777777" w:rsidR="00562B19" w:rsidRPr="00B8097F" w:rsidRDefault="00B8097F" w:rsidP="00B8097F">
      <w:pPr>
        <w:numPr>
          <w:ilvl w:val="2"/>
          <w:numId w:val="5"/>
        </w:numPr>
        <w:jc w:val="both"/>
        <w:rPr>
          <w:rFonts w:ascii="Arial" w:hAnsi="Arial" w:cs="Arial"/>
        </w:rPr>
      </w:pPr>
      <w:r w:rsidRPr="00B8097F">
        <w:rPr>
          <w:rFonts w:ascii="Arial" w:hAnsi="Arial" w:cs="Arial"/>
        </w:rPr>
        <w:t>If the issues involve long-term ill health, the manager conducting the interview (if appropriate) will:</w:t>
      </w:r>
    </w:p>
    <w:p w14:paraId="6F97C984" w14:textId="77777777" w:rsidR="00562B19" w:rsidRPr="00B8097F" w:rsidRDefault="00B8097F" w:rsidP="00B8097F">
      <w:pPr>
        <w:numPr>
          <w:ilvl w:val="2"/>
          <w:numId w:val="10"/>
        </w:numPr>
        <w:jc w:val="both"/>
        <w:rPr>
          <w:rFonts w:ascii="Arial" w:hAnsi="Arial" w:cs="Arial"/>
        </w:rPr>
      </w:pPr>
      <w:r w:rsidRPr="00B8097F">
        <w:rPr>
          <w:rFonts w:ascii="Arial" w:hAnsi="Arial" w:cs="Arial"/>
        </w:rPr>
        <w:t xml:space="preserve">seek to establish the reasons for the employee's absence and its likely duration. Where the employee has a Statement (“fit note”) from the GP, </w:t>
      </w:r>
      <w:r w:rsidR="006C33A3" w:rsidRPr="00B8097F">
        <w:rPr>
          <w:rFonts w:ascii="Arial" w:hAnsi="Arial" w:cs="Arial"/>
        </w:rPr>
        <w:t>HR</w:t>
      </w:r>
      <w:r w:rsidRPr="00B8097F">
        <w:rPr>
          <w:rFonts w:ascii="Arial" w:hAnsi="Arial" w:cs="Arial"/>
        </w:rPr>
        <w:t xml:space="preserve"> will consider, in discussion with the employee, whether the GP's suggestions can be made to assist the employee's return to work. The employee may also be asked to see a doctor appointed by </w:t>
      </w:r>
      <w:r w:rsidR="006C33A3" w:rsidRPr="00B8097F">
        <w:rPr>
          <w:rFonts w:ascii="Arial" w:hAnsi="Arial" w:cs="Arial"/>
        </w:rPr>
        <w:t>Zenith Care</w:t>
      </w:r>
      <w:r w:rsidRPr="00B8097F">
        <w:rPr>
          <w:rFonts w:ascii="Arial" w:hAnsi="Arial" w:cs="Arial"/>
        </w:rPr>
        <w:t xml:space="preserve"> to enable a medical report to be prepared for the employer</w:t>
      </w:r>
    </w:p>
    <w:p w14:paraId="6F97C985" w14:textId="77777777" w:rsidR="00562B19" w:rsidRPr="00B8097F" w:rsidRDefault="00B8097F" w:rsidP="00B8097F">
      <w:pPr>
        <w:numPr>
          <w:ilvl w:val="2"/>
          <w:numId w:val="10"/>
        </w:numPr>
        <w:jc w:val="both"/>
        <w:rPr>
          <w:rFonts w:ascii="Arial" w:hAnsi="Arial" w:cs="Arial"/>
        </w:rPr>
      </w:pPr>
      <w:r w:rsidRPr="00B8097F">
        <w:rPr>
          <w:rFonts w:ascii="Arial" w:hAnsi="Arial" w:cs="Arial"/>
        </w:rPr>
        <w:t xml:space="preserve">inform the employee that long-term absence due to ill health may put the employee’s employment at risk, bearing in mind the needs of </w:t>
      </w:r>
      <w:r w:rsidR="006C33A3" w:rsidRPr="00B8097F">
        <w:rPr>
          <w:rFonts w:ascii="Arial" w:hAnsi="Arial" w:cs="Arial"/>
        </w:rPr>
        <w:t>Zenith Care</w:t>
      </w:r>
      <w:r w:rsidRPr="00B8097F">
        <w:rPr>
          <w:rFonts w:ascii="Arial" w:hAnsi="Arial" w:cs="Arial"/>
        </w:rPr>
        <w:t xml:space="preserve"> at that time</w:t>
      </w:r>
    </w:p>
    <w:p w14:paraId="6F97C986" w14:textId="77777777" w:rsidR="00562B19" w:rsidRPr="00B8097F" w:rsidRDefault="00B8097F" w:rsidP="00B8097F">
      <w:pPr>
        <w:numPr>
          <w:ilvl w:val="2"/>
          <w:numId w:val="10"/>
        </w:numPr>
        <w:jc w:val="both"/>
        <w:rPr>
          <w:rFonts w:ascii="Arial" w:hAnsi="Arial" w:cs="Arial"/>
        </w:rPr>
      </w:pPr>
      <w:r w:rsidRPr="00B8097F">
        <w:rPr>
          <w:rFonts w:ascii="Arial" w:hAnsi="Arial" w:cs="Arial"/>
        </w:rPr>
        <w:t>set a date at which point dismissal will be considered if the employee is still unable to return to work. A letter will normally be drafted confirming the facts and the action to be taken. The letter will be handed to the employee where possible or sent by recorded delivery.</w:t>
      </w:r>
    </w:p>
    <w:p w14:paraId="6F97C987" w14:textId="77777777" w:rsidR="00562B19" w:rsidRPr="00B8097F" w:rsidRDefault="00B8097F" w:rsidP="00B8097F">
      <w:pPr>
        <w:numPr>
          <w:ilvl w:val="0"/>
          <w:numId w:val="2"/>
        </w:numPr>
        <w:jc w:val="both"/>
        <w:rPr>
          <w:rFonts w:ascii="Arial" w:hAnsi="Arial" w:cs="Arial"/>
        </w:rPr>
      </w:pPr>
      <w:r w:rsidRPr="00B8097F">
        <w:rPr>
          <w:rFonts w:ascii="Arial" w:hAnsi="Arial" w:cs="Arial"/>
        </w:rPr>
        <w:t xml:space="preserve">If the employee’s attendance record does not improve and the employer has no reasonable grounds to believe that there will be an improvement in the foreseeable future, the organisation may embark on a procedure to dismiss the employee. In this case, the dismissal and disciplinary procedure will comply with the ACAS Code. The employer will first write to the employee stating the circumstances (ie why dismissal on grounds of lack of capability is being contemplated) and calling the employee to a formal meeting. The employer will also notify the employee of the right to be accompanied at the meeting. The employee must make every reasonable effort to attend the meeting. At the meeting itself, the employer should give the employee a full opportunity to make </w:t>
      </w:r>
      <w:r w:rsidRPr="00B8097F">
        <w:rPr>
          <w:rFonts w:ascii="Arial" w:hAnsi="Arial" w:cs="Arial"/>
        </w:rPr>
        <w:lastRenderedPageBreak/>
        <w:t>representations. The employer must also give the employee the right to appeal, if it is subsequently decided to dismiss the employee.</w:t>
      </w:r>
    </w:p>
    <w:p w14:paraId="6F97C988" w14:textId="77777777" w:rsidR="00562B19" w:rsidRPr="00B8097F" w:rsidRDefault="00B8097F" w:rsidP="00B8097F">
      <w:pPr>
        <w:numPr>
          <w:ilvl w:val="0"/>
          <w:numId w:val="2"/>
        </w:numPr>
        <w:jc w:val="both"/>
        <w:rPr>
          <w:rFonts w:ascii="Arial" w:hAnsi="Arial" w:cs="Arial"/>
        </w:rPr>
      </w:pPr>
      <w:r w:rsidRPr="00B8097F">
        <w:rPr>
          <w:rFonts w:ascii="Arial" w:hAnsi="Arial" w:cs="Arial"/>
        </w:rPr>
        <w:t>In cases where the employee appears to be disabled within the meaning of the Equality Act 2010, the manager conducting the interview will:</w:t>
      </w:r>
    </w:p>
    <w:p w14:paraId="6F97C989" w14:textId="77777777" w:rsidR="00562B19" w:rsidRPr="00B8097F" w:rsidRDefault="00B8097F" w:rsidP="00B8097F">
      <w:pPr>
        <w:numPr>
          <w:ilvl w:val="1"/>
          <w:numId w:val="7"/>
        </w:numPr>
        <w:jc w:val="both"/>
        <w:rPr>
          <w:rFonts w:ascii="Arial" w:hAnsi="Arial" w:cs="Arial"/>
        </w:rPr>
      </w:pPr>
      <w:r w:rsidRPr="00B8097F">
        <w:rPr>
          <w:rFonts w:ascii="Arial" w:hAnsi="Arial" w:cs="Arial"/>
        </w:rPr>
        <w:t xml:space="preserve">seek to establish the nature of the illness and its likely duration. Where the employee's GP has provided a Statement (“fit note”), </w:t>
      </w:r>
      <w:r w:rsidR="006C33A3" w:rsidRPr="00B8097F">
        <w:rPr>
          <w:rFonts w:ascii="Arial" w:hAnsi="Arial" w:cs="Arial"/>
        </w:rPr>
        <w:t>The line Manager</w:t>
      </w:r>
      <w:r w:rsidRPr="00B8097F">
        <w:rPr>
          <w:rFonts w:ascii="Arial" w:hAnsi="Arial" w:cs="Arial"/>
        </w:rPr>
        <w:t xml:space="preserve"> will consider these suggestions with the employee. The employee may also be asked to see a doctor appointed by the organisation to enable a medical report to be prepared for the employer;</w:t>
      </w:r>
    </w:p>
    <w:p w14:paraId="6F97C98A" w14:textId="77777777" w:rsidR="00562B19" w:rsidRPr="00B8097F" w:rsidRDefault="00B8097F" w:rsidP="00B8097F">
      <w:pPr>
        <w:numPr>
          <w:ilvl w:val="1"/>
          <w:numId w:val="7"/>
        </w:numPr>
        <w:jc w:val="both"/>
        <w:rPr>
          <w:rFonts w:ascii="Arial" w:hAnsi="Arial" w:cs="Arial"/>
        </w:rPr>
      </w:pPr>
      <w:r w:rsidRPr="00B8097F">
        <w:rPr>
          <w:rFonts w:ascii="Arial" w:hAnsi="Arial" w:cs="Arial"/>
        </w:rPr>
        <w:t>consider making reasonable adjustments to the particular job to accommodate the employee’s short-term or long-term requirements;</w:t>
      </w:r>
    </w:p>
    <w:p w14:paraId="6F97C98B" w14:textId="77777777" w:rsidR="00562B19" w:rsidRPr="00B8097F" w:rsidRDefault="00B8097F" w:rsidP="00B8097F">
      <w:pPr>
        <w:numPr>
          <w:ilvl w:val="1"/>
          <w:numId w:val="7"/>
        </w:numPr>
        <w:jc w:val="both"/>
        <w:rPr>
          <w:rFonts w:ascii="Arial" w:hAnsi="Arial" w:cs="Arial"/>
        </w:rPr>
      </w:pPr>
      <w:r w:rsidRPr="00B8097F">
        <w:rPr>
          <w:rFonts w:ascii="Arial" w:hAnsi="Arial" w:cs="Arial"/>
        </w:rPr>
        <w:t>consider offering alternative employment or a shorter working week or such other adjustments to the employee’s job as may be reasonable in the circumstances.</w:t>
      </w:r>
    </w:p>
    <w:p w14:paraId="6F97C98C" w14:textId="77777777" w:rsidR="00562B19" w:rsidRPr="00B8097F" w:rsidRDefault="00B8097F" w:rsidP="00B8097F">
      <w:pPr>
        <w:numPr>
          <w:ilvl w:val="0"/>
          <w:numId w:val="1"/>
        </w:numPr>
        <w:jc w:val="both"/>
        <w:rPr>
          <w:rFonts w:ascii="Arial" w:hAnsi="Arial" w:cs="Arial"/>
        </w:rPr>
      </w:pPr>
      <w:r w:rsidRPr="00B8097F">
        <w:rPr>
          <w:rFonts w:ascii="Arial" w:hAnsi="Arial" w:cs="Arial"/>
        </w:rPr>
        <w:t>In the event that steps (b) and (c) are impracticable or inappropriate or unreasonable, the employer will advise the employee that long-term absence due to ill health may put the employment at risk (bearing in mind the needs of the organisation at that time) and set a date at which point dismissal will be considered if the employee is still unable to return to work. A letter will normally be drafted confirming the facts and the action to be taken. The letter will be handed to the employee where possible or sent by recorded delivery. In some cases it may be necessary to have a number of interviews with the employee before a final decision can be made.</w:t>
      </w:r>
    </w:p>
    <w:p w14:paraId="6F97C98D" w14:textId="77777777" w:rsidR="00562B19" w:rsidRPr="00B8097F" w:rsidRDefault="00B8097F" w:rsidP="00B8097F">
      <w:pPr>
        <w:numPr>
          <w:ilvl w:val="0"/>
          <w:numId w:val="2"/>
        </w:numPr>
        <w:jc w:val="both"/>
        <w:rPr>
          <w:rFonts w:ascii="Arial" w:hAnsi="Arial" w:cs="Arial"/>
        </w:rPr>
      </w:pPr>
      <w:r w:rsidRPr="00B8097F">
        <w:rPr>
          <w:rFonts w:ascii="Arial" w:hAnsi="Arial" w:cs="Arial"/>
        </w:rPr>
        <w:t>Employees may appeal against the dec</w:t>
      </w:r>
      <w:r w:rsidR="006C33A3" w:rsidRPr="00B8097F">
        <w:rPr>
          <w:rFonts w:ascii="Arial" w:hAnsi="Arial" w:cs="Arial"/>
        </w:rPr>
        <w:t>ision to dismiss in writing to HR</w:t>
      </w:r>
      <w:r w:rsidRPr="00B8097F">
        <w:rPr>
          <w:rFonts w:ascii="Arial" w:hAnsi="Arial" w:cs="Arial"/>
        </w:rPr>
        <w:t xml:space="preserve"> at the </w:t>
      </w:r>
      <w:proofErr w:type="spellStart"/>
      <w:r w:rsidRPr="00B8097F">
        <w:rPr>
          <w:rFonts w:ascii="Arial" w:hAnsi="Arial" w:cs="Arial"/>
        </w:rPr>
        <w:t>organisation’s</w:t>
      </w:r>
      <w:proofErr w:type="spellEnd"/>
      <w:r w:rsidRPr="00B8097F">
        <w:rPr>
          <w:rFonts w:ascii="Arial" w:hAnsi="Arial" w:cs="Arial"/>
        </w:rPr>
        <w:t xml:space="preserve"> address giving the reasons for the appeal. This appeal should be made within five working days. The right of accompaniment also applies to the appeal hearing.</w:t>
      </w:r>
    </w:p>
    <w:p w14:paraId="6F97C98E" w14:textId="77777777" w:rsidR="00562B19" w:rsidRDefault="00B8097F" w:rsidP="00B8097F">
      <w:pPr>
        <w:numPr>
          <w:ilvl w:val="0"/>
          <w:numId w:val="2"/>
        </w:numPr>
        <w:jc w:val="both"/>
        <w:rPr>
          <w:rFonts w:ascii="Arial" w:hAnsi="Arial" w:cs="Arial"/>
        </w:rPr>
      </w:pPr>
      <w:r w:rsidRPr="00B8097F">
        <w:rPr>
          <w:rFonts w:ascii="Arial" w:hAnsi="Arial" w:cs="Arial"/>
        </w:rPr>
        <w:t>An employee who fails to comply with notification or certification procedures or who otherwise abuses Zenith Care's rules on sickness absence will be dealt with under the disciplinary procedure.</w:t>
      </w:r>
    </w:p>
    <w:p w14:paraId="7C9D5985" w14:textId="77777777" w:rsidR="0066149E" w:rsidRPr="0066149E" w:rsidRDefault="0066149E" w:rsidP="0066149E">
      <w:pPr>
        <w:widowControl w:val="0"/>
        <w:tabs>
          <w:tab w:val="left" w:pos="1277"/>
        </w:tabs>
        <w:spacing w:after="0" w:line="200" w:lineRule="exact"/>
        <w:jc w:val="both"/>
        <w:rPr>
          <w:rFonts w:ascii="Arial" w:eastAsia="Calibri" w:hAnsi="Arial" w:cs="Arial"/>
        </w:rPr>
      </w:pPr>
    </w:p>
    <w:tbl>
      <w:tblPr>
        <w:tblStyle w:val="Table"/>
        <w:tblW w:w="0" w:type="pct"/>
        <w:tblLook w:val="07C0" w:firstRow="0" w:lastRow="1" w:firstColumn="1" w:lastColumn="1" w:noHBand="1" w:noVBand="1"/>
      </w:tblPr>
      <w:tblGrid>
        <w:gridCol w:w="2217"/>
        <w:gridCol w:w="4794"/>
      </w:tblGrid>
      <w:tr w:rsidR="0066149E" w14:paraId="27446262" w14:textId="77777777" w:rsidTr="00D561E6">
        <w:tc>
          <w:tcPr>
            <w:tcW w:w="0" w:type="auto"/>
            <w:hideMark/>
          </w:tcPr>
          <w:p w14:paraId="3B8034FC" w14:textId="77777777" w:rsidR="0066149E" w:rsidRDefault="0066149E" w:rsidP="00D561E6">
            <w:pPr>
              <w:rPr>
                <w:rFonts w:ascii="Arial" w:hAnsi="Arial" w:cs="Arial"/>
              </w:rPr>
            </w:pPr>
            <w:r>
              <w:rPr>
                <w:rFonts w:ascii="Arial" w:hAnsi="Arial" w:cs="Arial"/>
              </w:rPr>
              <w:t>Signed:</w:t>
            </w:r>
          </w:p>
        </w:tc>
        <w:tc>
          <w:tcPr>
            <w:tcW w:w="0" w:type="auto"/>
            <w:hideMark/>
          </w:tcPr>
          <w:p w14:paraId="407D7027" w14:textId="77777777" w:rsidR="0066149E" w:rsidRDefault="0066149E" w:rsidP="00D561E6">
            <w:pPr>
              <w:rPr>
                <w:rFonts w:ascii="Arial" w:hAnsi="Arial" w:cs="Arial"/>
              </w:rPr>
            </w:pPr>
            <w:r>
              <w:rPr>
                <w:rFonts w:ascii="Arial" w:hAnsi="Arial" w:cs="Arial"/>
              </w:rPr>
              <w:t>_______Kechi Anyanwu_____________</w:t>
            </w:r>
          </w:p>
        </w:tc>
      </w:tr>
      <w:tr w:rsidR="0066149E" w14:paraId="773846A6" w14:textId="77777777" w:rsidTr="00D561E6">
        <w:tc>
          <w:tcPr>
            <w:tcW w:w="0" w:type="auto"/>
            <w:hideMark/>
          </w:tcPr>
          <w:p w14:paraId="057F17C1" w14:textId="77777777" w:rsidR="0066149E" w:rsidRDefault="0066149E" w:rsidP="00D561E6">
            <w:pPr>
              <w:rPr>
                <w:rFonts w:ascii="Arial" w:hAnsi="Arial" w:cs="Arial"/>
              </w:rPr>
            </w:pPr>
            <w:r>
              <w:rPr>
                <w:rFonts w:ascii="Arial" w:hAnsi="Arial" w:cs="Arial"/>
              </w:rPr>
              <w:t>Date:</w:t>
            </w:r>
          </w:p>
        </w:tc>
        <w:tc>
          <w:tcPr>
            <w:tcW w:w="0" w:type="auto"/>
            <w:hideMark/>
          </w:tcPr>
          <w:p w14:paraId="77BF0BE5" w14:textId="77777777" w:rsidR="0066149E" w:rsidRDefault="0066149E"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66149E" w14:paraId="69DD44F9" w14:textId="77777777" w:rsidTr="00D561E6">
        <w:tc>
          <w:tcPr>
            <w:tcW w:w="0" w:type="auto"/>
            <w:hideMark/>
          </w:tcPr>
          <w:p w14:paraId="44FB5540" w14:textId="77777777" w:rsidR="0066149E" w:rsidRDefault="0066149E" w:rsidP="00D561E6">
            <w:pPr>
              <w:rPr>
                <w:rFonts w:ascii="Arial" w:hAnsi="Arial" w:cs="Arial"/>
              </w:rPr>
            </w:pPr>
            <w:r>
              <w:rPr>
                <w:rFonts w:ascii="Arial" w:hAnsi="Arial" w:cs="Arial"/>
              </w:rPr>
              <w:t>Policy review date:</w:t>
            </w:r>
          </w:p>
        </w:tc>
        <w:tc>
          <w:tcPr>
            <w:tcW w:w="0" w:type="auto"/>
            <w:hideMark/>
          </w:tcPr>
          <w:p w14:paraId="79025755" w14:textId="77777777" w:rsidR="0066149E" w:rsidRDefault="0066149E"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66664621" w14:textId="77777777" w:rsidR="0066149E" w:rsidRPr="0066149E" w:rsidRDefault="0066149E" w:rsidP="0066149E">
      <w:pPr>
        <w:pStyle w:val="ListParagraph"/>
        <w:widowControl w:val="0"/>
        <w:spacing w:after="0" w:line="200" w:lineRule="exact"/>
        <w:ind w:left="480"/>
        <w:rPr>
          <w:rFonts w:ascii="Arial" w:eastAsia="Calibri" w:hAnsi="Arial" w:cs="Arial"/>
        </w:rPr>
      </w:pPr>
    </w:p>
    <w:sectPr w:rsidR="0066149E" w:rsidRPr="006614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1B6C" w14:textId="77777777" w:rsidR="00C25EE1" w:rsidRDefault="00C25EE1" w:rsidP="00B8097F">
      <w:pPr>
        <w:spacing w:before="0" w:after="0"/>
      </w:pPr>
      <w:r>
        <w:separator/>
      </w:r>
    </w:p>
  </w:endnote>
  <w:endnote w:type="continuationSeparator" w:id="0">
    <w:p w14:paraId="2ADAFB34" w14:textId="77777777" w:rsidR="00C25EE1" w:rsidRDefault="00C25EE1" w:rsidP="00B809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49C9" w14:textId="77777777" w:rsidR="00C25EE1" w:rsidRDefault="00C25EE1" w:rsidP="00B8097F">
      <w:pPr>
        <w:spacing w:before="0" w:after="0"/>
      </w:pPr>
      <w:r>
        <w:separator/>
      </w:r>
    </w:p>
  </w:footnote>
  <w:footnote w:type="continuationSeparator" w:id="0">
    <w:p w14:paraId="51199616" w14:textId="77777777" w:rsidR="00C25EE1" w:rsidRDefault="00C25EE1" w:rsidP="00B809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C993" w14:textId="77777777" w:rsidR="00B8097F" w:rsidRDefault="00C25EE1">
    <w:pPr>
      <w:pStyle w:val="Header"/>
    </w:pPr>
    <w:r>
      <w:rPr>
        <w:noProof/>
        <w:lang w:val="en-GB" w:eastAsia="en-GB"/>
      </w:rPr>
      <w:pict w14:anchorId="6F97C995">
        <v:shapetype id="_x0000_t202" coordsize="21600,21600" o:spt="202" path="m,l,21600r21600,l21600,xe">
          <v:stroke joinstyle="miter"/>
          <v:path gradientshapeok="t" o:connecttype="rect"/>
        </v:shapetype>
        <v:shape id="_x0000_s1025" type="#_x0000_t202" style="position:absolute;margin-left:347.45pt;margin-top:-19.5pt;width:139.8pt;height:46.9pt;z-index:251658240" strokecolor="white [3212]">
          <v:textbox>
            <w:txbxContent>
              <w:p w14:paraId="6F97C996" w14:textId="77777777" w:rsidR="00B8097F" w:rsidRDefault="00B8097F">
                <w:r w:rsidRPr="00B8097F">
                  <w:rPr>
                    <w:noProof/>
                    <w:lang w:val="en-GB" w:eastAsia="en-GB"/>
                  </w:rPr>
                  <w:drawing>
                    <wp:inline distT="0" distB="0" distL="0" distR="0" wp14:anchorId="6F97C997" wp14:editId="6F97C998">
                      <wp:extent cx="1435395" cy="398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398463"/>
                              </a:xfrm>
                              <a:prstGeom prst="rect">
                                <a:avLst/>
                              </a:prstGeom>
                              <a:noFill/>
                              <a:ln>
                                <a:noFill/>
                              </a:ln>
                            </pic:spPr>
                          </pic:pic>
                        </a:graphicData>
                      </a:graphic>
                    </wp:inline>
                  </w:drawing>
                </w:r>
              </w:p>
            </w:txbxContent>
          </v:textbox>
        </v:shape>
      </w:pict>
    </w:r>
  </w:p>
  <w:p w14:paraId="6F97C994" w14:textId="77777777" w:rsidR="00B8097F" w:rsidRDefault="00B80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58CD"/>
    <w:multiLevelType w:val="multilevel"/>
    <w:tmpl w:val="E4F660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3EA20F88"/>
    <w:multiLevelType w:val="multilevel"/>
    <w:tmpl w:val="6D6E8CD0"/>
    <w:lvl w:ilvl="0">
      <w:start w:val="1"/>
      <w:numFmt w:val="decimal"/>
      <w:lvlText w:val="%1."/>
      <w:lvlJc w:val="left"/>
      <w:pPr>
        <w:tabs>
          <w:tab w:val="num" w:pos="0"/>
        </w:tabs>
        <w:ind w:left="480" w:hanging="480"/>
      </w:pPr>
    </w:lvl>
    <w:lvl w:ilvl="1">
      <w:start w:val="1"/>
      <w:numFmt w:val="bullet"/>
      <w:lvlText w:val=""/>
      <w:lvlJc w:val="left"/>
      <w:pPr>
        <w:tabs>
          <w:tab w:val="num" w:pos="720"/>
        </w:tabs>
        <w:ind w:left="1200" w:hanging="480"/>
      </w:pPr>
      <w:rPr>
        <w:rFonts w:ascii="Symbol" w:hAnsi="Symbol" w:hint="default"/>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4C064423"/>
    <w:multiLevelType w:val="multilevel"/>
    <w:tmpl w:val="6D6E8CD0"/>
    <w:lvl w:ilvl="0">
      <w:start w:val="1"/>
      <w:numFmt w:val="decimal"/>
      <w:lvlText w:val="%1."/>
      <w:lvlJc w:val="left"/>
      <w:pPr>
        <w:tabs>
          <w:tab w:val="num" w:pos="0"/>
        </w:tabs>
        <w:ind w:left="480" w:hanging="480"/>
      </w:pPr>
    </w:lvl>
    <w:lvl w:ilvl="1">
      <w:start w:val="1"/>
      <w:numFmt w:val="bullet"/>
      <w:lvlText w:val=""/>
      <w:lvlJc w:val="left"/>
      <w:pPr>
        <w:tabs>
          <w:tab w:val="num" w:pos="720"/>
        </w:tabs>
        <w:ind w:left="1200" w:hanging="480"/>
      </w:pPr>
      <w:rPr>
        <w:rFonts w:ascii="Symbol" w:hAnsi="Symbol" w:hint="default"/>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76626E3C"/>
    <w:multiLevelType w:val="multilevel"/>
    <w:tmpl w:val="6D6E8CD0"/>
    <w:lvl w:ilvl="0">
      <w:start w:val="1"/>
      <w:numFmt w:val="decimal"/>
      <w:lvlText w:val="%1."/>
      <w:lvlJc w:val="left"/>
      <w:pPr>
        <w:tabs>
          <w:tab w:val="num" w:pos="0"/>
        </w:tabs>
        <w:ind w:left="480" w:hanging="480"/>
      </w:pPr>
    </w:lvl>
    <w:lvl w:ilvl="1">
      <w:start w:val="1"/>
      <w:numFmt w:val="bullet"/>
      <w:lvlText w:val=""/>
      <w:lvlJc w:val="left"/>
      <w:pPr>
        <w:tabs>
          <w:tab w:val="num" w:pos="720"/>
        </w:tabs>
        <w:ind w:left="1200" w:hanging="480"/>
      </w:pPr>
      <w:rPr>
        <w:rFonts w:ascii="Symbol" w:hAnsi="Symbol" w:hint="default"/>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79AA4C84"/>
    <w:multiLevelType w:val="multilevel"/>
    <w:tmpl w:val="5E10FBD4"/>
    <w:lvl w:ilvl="0">
      <w:start w:val="1"/>
      <w:numFmt w:val="decimal"/>
      <w:lvlText w:val="%1."/>
      <w:lvlJc w:val="left"/>
      <w:pPr>
        <w:tabs>
          <w:tab w:val="num" w:pos="0"/>
        </w:tabs>
        <w:ind w:left="480" w:hanging="480"/>
      </w:pPr>
    </w:lvl>
    <w:lvl w:ilvl="1">
      <w:start w:val="1"/>
      <w:numFmt w:val="bullet"/>
      <w:lvlText w:val=""/>
      <w:lvlJc w:val="left"/>
      <w:pPr>
        <w:tabs>
          <w:tab w:val="num" w:pos="720"/>
        </w:tabs>
        <w:ind w:left="1200" w:hanging="480"/>
      </w:pPr>
      <w:rPr>
        <w:rFonts w:ascii="Symbol" w:hAnsi="Symbol" w:hint="default"/>
      </w:rPr>
    </w:lvl>
    <w:lvl w:ilvl="2">
      <w:start w:val="1"/>
      <w:numFmt w:val="bullet"/>
      <w:lvlText w:val=""/>
      <w:lvlJc w:val="left"/>
      <w:pPr>
        <w:tabs>
          <w:tab w:val="num" w:pos="1440"/>
        </w:tabs>
        <w:ind w:left="1920" w:hanging="480"/>
      </w:pPr>
      <w:rPr>
        <w:rFonts w:ascii="Symbol" w:hAnsi="Symbol" w:hint="default"/>
      </w:r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680347136">
    <w:abstractNumId w:val="0"/>
  </w:num>
  <w:num w:numId="2" w16cid:durableId="1360004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275990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537788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556821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48193821">
    <w:abstractNumId w:val="1"/>
  </w:num>
  <w:num w:numId="7" w16cid:durableId="1371370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1648124591">
    <w:abstractNumId w:val="2"/>
  </w:num>
  <w:num w:numId="9" w16cid:durableId="1329362524">
    <w:abstractNumId w:val="3"/>
  </w:num>
  <w:num w:numId="10" w16cid:durableId="79437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C7165"/>
    <w:rsid w:val="004E29B3"/>
    <w:rsid w:val="00562B19"/>
    <w:rsid w:val="00590D07"/>
    <w:rsid w:val="0066149E"/>
    <w:rsid w:val="006C33A3"/>
    <w:rsid w:val="00784D58"/>
    <w:rsid w:val="008D6863"/>
    <w:rsid w:val="00B8097F"/>
    <w:rsid w:val="00B86B75"/>
    <w:rsid w:val="00BC48D5"/>
    <w:rsid w:val="00C25EE1"/>
    <w:rsid w:val="00C36279"/>
    <w:rsid w:val="00D726DD"/>
    <w:rsid w:val="00E315A3"/>
    <w:rsid w:val="00E925EC"/>
    <w:rsid w:val="00EF3F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C970"/>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B8097F"/>
    <w:pPr>
      <w:tabs>
        <w:tab w:val="center" w:pos="4513"/>
        <w:tab w:val="right" w:pos="9026"/>
      </w:tabs>
      <w:spacing w:before="0" w:after="0"/>
    </w:pPr>
  </w:style>
  <w:style w:type="character" w:customStyle="1" w:styleId="HeaderChar">
    <w:name w:val="Header Char"/>
    <w:basedOn w:val="DefaultParagraphFont"/>
    <w:link w:val="Header"/>
    <w:uiPriority w:val="99"/>
    <w:rsid w:val="00B8097F"/>
  </w:style>
  <w:style w:type="paragraph" w:styleId="Footer">
    <w:name w:val="footer"/>
    <w:basedOn w:val="Normal"/>
    <w:link w:val="FooterChar"/>
    <w:rsid w:val="00B8097F"/>
    <w:pPr>
      <w:tabs>
        <w:tab w:val="center" w:pos="4513"/>
        <w:tab w:val="right" w:pos="9026"/>
      </w:tabs>
      <w:spacing w:before="0" w:after="0"/>
    </w:pPr>
  </w:style>
  <w:style w:type="character" w:customStyle="1" w:styleId="FooterChar">
    <w:name w:val="Footer Char"/>
    <w:basedOn w:val="DefaultParagraphFont"/>
    <w:link w:val="Footer"/>
    <w:rsid w:val="00B8097F"/>
  </w:style>
  <w:style w:type="paragraph" w:styleId="BalloonText">
    <w:name w:val="Balloon Text"/>
    <w:basedOn w:val="Normal"/>
    <w:link w:val="BalloonTextChar"/>
    <w:rsid w:val="001C7165"/>
    <w:pPr>
      <w:spacing w:before="0" w:after="0"/>
    </w:pPr>
    <w:rPr>
      <w:rFonts w:ascii="Tahoma" w:hAnsi="Tahoma" w:cs="Tahoma"/>
      <w:sz w:val="16"/>
      <w:szCs w:val="16"/>
    </w:rPr>
  </w:style>
  <w:style w:type="character" w:customStyle="1" w:styleId="BalloonTextChar">
    <w:name w:val="Balloon Text Char"/>
    <w:basedOn w:val="DefaultParagraphFont"/>
    <w:link w:val="BalloonText"/>
    <w:rsid w:val="001C7165"/>
    <w:rPr>
      <w:rFonts w:ascii="Tahoma" w:hAnsi="Tahoma" w:cs="Tahoma"/>
      <w:sz w:val="16"/>
      <w:szCs w:val="16"/>
    </w:rPr>
  </w:style>
  <w:style w:type="table" w:customStyle="1" w:styleId="Table">
    <w:name w:val="Table"/>
    <w:semiHidden/>
    <w:unhideWhenUsed/>
    <w:qFormat/>
    <w:rsid w:val="0066149E"/>
    <w:rPr>
      <w:rFonts w:ascii="Cambria" w:eastAsia="Cambria" w:hAnsi="Cambria" w:cs="Times New Roman"/>
      <w:lang w:val="en"/>
    </w:rPr>
    <w:tblPr>
      <w:tblInd w:w="0" w:type="dxa"/>
      <w:tblCellMar>
        <w:top w:w="0" w:type="dxa"/>
        <w:left w:w="108" w:type="dxa"/>
        <w:bottom w:w="0" w:type="dxa"/>
        <w:right w:w="108" w:type="dxa"/>
      </w:tblCellMar>
    </w:tblPr>
  </w:style>
  <w:style w:type="paragraph" w:styleId="ListParagraph">
    <w:name w:val="List Paragraph"/>
    <w:basedOn w:val="Normal"/>
    <w:rsid w:val="0066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6</cp:revision>
  <cp:lastPrinted>2020-08-30T00:20:00Z</cp:lastPrinted>
  <dcterms:created xsi:type="dcterms:W3CDTF">2018-09-02T20:40:00Z</dcterms:created>
  <dcterms:modified xsi:type="dcterms:W3CDTF">2022-05-07T14:57:00Z</dcterms:modified>
</cp:coreProperties>
</file>